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F1" w:rsidRDefault="00AF4DF1" w:rsidP="00AF4D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AF4DF1" w:rsidRDefault="00AF4DF1" w:rsidP="00AF4DF1">
      <w:pPr>
        <w:jc w:val="center"/>
        <w:rPr>
          <w:sz w:val="16"/>
          <w:szCs w:val="16"/>
        </w:rPr>
      </w:pPr>
    </w:p>
    <w:p w:rsidR="00AF4DF1" w:rsidRDefault="00AF4DF1" w:rsidP="00AF4DF1">
      <w:pPr>
        <w:ind w:left="113"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 xml:space="preserve"> – La presente scheda è da compilare obbligatoriamente </w:t>
      </w:r>
      <w:r>
        <w:rPr>
          <w:bCs/>
          <w:sz w:val="20"/>
          <w:szCs w:val="20"/>
        </w:rPr>
        <w:t>in tutte le sue parti</w:t>
      </w:r>
      <w:r>
        <w:rPr>
          <w:sz w:val="20"/>
          <w:szCs w:val="20"/>
        </w:rPr>
        <w:t>, in quanto i dati in essa inseriti sono richiesti sia per le esigenze interne all’Ateneo, sia dal</w:t>
      </w:r>
      <w:r>
        <w:rPr>
          <w:bCs/>
          <w:sz w:val="20"/>
          <w:szCs w:val="20"/>
        </w:rPr>
        <w:t xml:space="preserve">l'Anagrafe nazionale docenti, sia dal CINECA. </w:t>
      </w:r>
      <w:r>
        <w:rPr>
          <w:sz w:val="20"/>
          <w:szCs w:val="20"/>
        </w:rPr>
        <w:t xml:space="preserve">Si prega inoltre di compilare i campi utilizzando il carattere </w:t>
      </w:r>
      <w:r>
        <w:rPr>
          <w:b/>
          <w:sz w:val="20"/>
          <w:szCs w:val="20"/>
        </w:rPr>
        <w:t>Times New Roman, stile Normale a dimensione 10</w:t>
      </w:r>
      <w:r>
        <w:rPr>
          <w:sz w:val="20"/>
          <w:szCs w:val="20"/>
        </w:rPr>
        <w:t xml:space="preserve">, inserendo in ciascun campo al </w:t>
      </w:r>
      <w:r>
        <w:rPr>
          <w:b/>
          <w:sz w:val="20"/>
          <w:szCs w:val="20"/>
        </w:rPr>
        <w:t>massimo 1900 caratteri, spazi inclusi</w:t>
      </w:r>
      <w:r>
        <w:rPr>
          <w:sz w:val="20"/>
          <w:szCs w:val="20"/>
        </w:rPr>
        <w:t>. La scheda è da inserire a propria cura sia nello spazio docente di  Esse3 sia della pagina del programma nella sezione bacheca-studenti del sito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I</w:t>
      </w:r>
      <w:r>
        <w:rPr>
          <w:rFonts w:eastAsia="Arial Unicode MS"/>
          <w:color w:val="000000"/>
          <w:sz w:val="20"/>
        </w:rPr>
        <w:t xml:space="preserve"> docenti contitolari di un insegnamento dovranno inviare un’unica scheda. È  necessario allegare un curriculum vitae del Docente titolare dell’insegnamento e dell’eventuale cultore della materia.</w:t>
      </w:r>
    </w:p>
    <w:p w:rsidR="00AF4DF1" w:rsidRDefault="00AF4DF1" w:rsidP="00AF4DF1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247"/>
        <w:gridCol w:w="6660"/>
      </w:tblGrid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AF4DF1" w:rsidRPr="00060E00" w:rsidRDefault="00AF4DF1" w:rsidP="0084683A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AF4DF1" w:rsidRDefault="00AF4DF1" w:rsidP="008468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Interpretariato e mediazione interculturale</w:t>
            </w:r>
          </w:p>
          <w:p w:rsidR="00AF4DF1" w:rsidRPr="006E143C" w:rsidRDefault="00AF4DF1" w:rsidP="008468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(classe LM-94 – Traduzione specialistica e interpretariato)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AF4DF1" w:rsidRDefault="00080016" w:rsidP="00AF4DF1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Anno Accademico 2018/2019</w:t>
            </w:r>
            <w:r w:rsidR="00AF4DF1">
              <w:rPr>
                <w:b w:val="0"/>
                <w:sz w:val="20"/>
              </w:rPr>
              <w:t xml:space="preserve"> -  II anno (1° e 2° semestre)</w:t>
            </w:r>
          </w:p>
        </w:tc>
      </w:tr>
      <w:tr w:rsidR="00AF4DF1" w:rsidTr="0084683A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AF4DF1" w:rsidP="0084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Francese II</w:t>
            </w:r>
          </w:p>
        </w:tc>
      </w:tr>
      <w:tr w:rsidR="00AF4DF1" w:rsidTr="0084683A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Default="00AF4DF1" w:rsidP="0084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Language II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Annuale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60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L-LIN/04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(CFU)/ECTS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10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AF4DF1" w:rsidRDefault="00AF4DF1" w:rsidP="00563191">
            <w:pPr>
              <w:pStyle w:val="Ttu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AF4DF1" w:rsidRDefault="00AF4DF1" w:rsidP="00080016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80016">
              <w:rPr>
                <w:sz w:val="20"/>
                <w:szCs w:val="20"/>
              </w:rPr>
              <w:t>Scala Rina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AF4DF1" w:rsidRDefault="00AF4DF1" w:rsidP="00080016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r w:rsidR="00080016">
              <w:rPr>
                <w:b w:val="0"/>
                <w:sz w:val="20"/>
              </w:rPr>
              <w:t>rinascala@hotmail.it</w:t>
            </w:r>
          </w:p>
        </w:tc>
      </w:tr>
      <w:tr w:rsidR="00AF4DF1" w:rsidTr="0084683A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AF4DF1" w:rsidRDefault="00AF4DF1" w:rsidP="00563191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3B611E" w:rsidP="008468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corso verte su</w:t>
            </w:r>
            <w:bookmarkStart w:id="0" w:name="_GoBack"/>
            <w:bookmarkEnd w:id="0"/>
            <w:r w:rsidR="00AF4DF1">
              <w:rPr>
                <w:sz w:val="20"/>
                <w:szCs w:val="20"/>
              </w:rPr>
              <w:t xml:space="preserve">ll’approfondimento </w:t>
            </w:r>
            <w:r w:rsidR="00AF4DF1" w:rsidRPr="009F54AF">
              <w:rPr>
                <w:sz w:val="20"/>
                <w:szCs w:val="20"/>
              </w:rPr>
              <w:t xml:space="preserve">delle competenze linguistiche </w:t>
            </w:r>
            <w:r w:rsidR="00AF4DF1">
              <w:rPr>
                <w:sz w:val="20"/>
                <w:szCs w:val="20"/>
              </w:rPr>
              <w:t>finalizzate ad attività traduttive e interpretative</w:t>
            </w:r>
            <w:r w:rsidR="00886E95">
              <w:rPr>
                <w:sz w:val="20"/>
                <w:szCs w:val="20"/>
              </w:rPr>
              <w:t xml:space="preserve"> e</w:t>
            </w:r>
            <w:r w:rsidR="00080016">
              <w:rPr>
                <w:sz w:val="20"/>
                <w:szCs w:val="20"/>
              </w:rPr>
              <w:t xml:space="preserve"> creazione di glossari professionali. A tale riguardo saranno trattate e consolidate le tecniche di interpretazione di trattativa</w:t>
            </w:r>
            <w:r w:rsidR="00AF4DF1" w:rsidRPr="009F54AF">
              <w:rPr>
                <w:sz w:val="20"/>
                <w:szCs w:val="20"/>
              </w:rPr>
              <w:t>,</w:t>
            </w:r>
            <w:r w:rsidR="00080016">
              <w:rPr>
                <w:sz w:val="20"/>
                <w:szCs w:val="20"/>
              </w:rPr>
              <w:t xml:space="preserve"> consecutiva e simultanea</w:t>
            </w:r>
            <w:r w:rsidR="00AF4DF1">
              <w:rPr>
                <w:sz w:val="20"/>
                <w:szCs w:val="20"/>
              </w:rPr>
              <w:t xml:space="preserve"> con attenzione anche a linguaggi </w:t>
            </w:r>
            <w:r w:rsidR="00080016">
              <w:rPr>
                <w:sz w:val="20"/>
                <w:szCs w:val="20"/>
              </w:rPr>
              <w:t>settoriali</w:t>
            </w:r>
            <w:r w:rsidR="00AF4DF1">
              <w:rPr>
                <w:sz w:val="20"/>
                <w:szCs w:val="20"/>
              </w:rPr>
              <w:t>.</w:t>
            </w:r>
          </w:p>
          <w:p w:rsidR="00AF4DF1" w:rsidRDefault="00AF4DF1" w:rsidP="008468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lezioni prevedono una</w:t>
            </w:r>
            <w:r w:rsidR="00080016">
              <w:rPr>
                <w:sz w:val="20"/>
                <w:szCs w:val="20"/>
              </w:rPr>
              <w:t xml:space="preserve"> breve</w:t>
            </w:r>
            <w:r>
              <w:rPr>
                <w:sz w:val="20"/>
                <w:szCs w:val="20"/>
              </w:rPr>
              <w:t xml:space="preserve"> parte teorica </w:t>
            </w:r>
            <w:r w:rsidR="00563191">
              <w:rPr>
                <w:sz w:val="20"/>
                <w:szCs w:val="20"/>
              </w:rPr>
              <w:t xml:space="preserve">in cui </w:t>
            </w:r>
            <w:r w:rsidR="00080016">
              <w:rPr>
                <w:sz w:val="20"/>
                <w:szCs w:val="20"/>
              </w:rPr>
              <w:t xml:space="preserve">si </w:t>
            </w:r>
            <w:r w:rsidR="008C61DA">
              <w:rPr>
                <w:sz w:val="20"/>
                <w:szCs w:val="20"/>
              </w:rPr>
              <w:t>proseguirà l’approfondimento d</w:t>
            </w:r>
            <w:r w:rsidR="00080016">
              <w:rPr>
                <w:sz w:val="20"/>
                <w:szCs w:val="20"/>
              </w:rPr>
              <w:t xml:space="preserve">ei principali aspetti teorici relativi alla </w:t>
            </w:r>
            <w:r>
              <w:rPr>
                <w:sz w:val="20"/>
                <w:szCs w:val="20"/>
              </w:rPr>
              <w:t>tradu</w:t>
            </w:r>
            <w:r w:rsidR="00080016">
              <w:rPr>
                <w:sz w:val="20"/>
                <w:szCs w:val="20"/>
              </w:rPr>
              <w:t xml:space="preserve">zione e all’interpretazione dal francese all’italiano </w:t>
            </w:r>
            <w:r>
              <w:rPr>
                <w:sz w:val="20"/>
                <w:szCs w:val="20"/>
              </w:rPr>
              <w:t>e viceversa, ed una</w:t>
            </w:r>
            <w:r w:rsidR="00080016">
              <w:rPr>
                <w:sz w:val="20"/>
                <w:szCs w:val="20"/>
              </w:rPr>
              <w:t xml:space="preserve"> fondamentale</w:t>
            </w:r>
            <w:r>
              <w:rPr>
                <w:sz w:val="20"/>
                <w:szCs w:val="20"/>
              </w:rPr>
              <w:t xml:space="preserve"> parte pratica con esercitazioni di analisi linguistica e traduzione di diverse tipologie testuali. A tale scopo saranno utilizzati documenti autentici, anche tratti dal web, inerenti </w:t>
            </w:r>
            <w:r w:rsidR="00080016">
              <w:rPr>
                <w:sz w:val="20"/>
                <w:szCs w:val="20"/>
              </w:rPr>
              <w:t>il settore</w:t>
            </w:r>
            <w:r>
              <w:rPr>
                <w:sz w:val="20"/>
                <w:szCs w:val="20"/>
              </w:rPr>
              <w:t xml:space="preserve"> </w:t>
            </w:r>
            <w:r w:rsidRPr="009A50F9">
              <w:rPr>
                <w:sz w:val="20"/>
                <w:szCs w:val="20"/>
              </w:rPr>
              <w:t xml:space="preserve">politico, </w:t>
            </w:r>
            <w:r w:rsidR="00080016">
              <w:rPr>
                <w:sz w:val="20"/>
                <w:szCs w:val="20"/>
              </w:rPr>
              <w:t xml:space="preserve">medico, </w:t>
            </w:r>
            <w:r w:rsidR="00CF2387">
              <w:rPr>
                <w:sz w:val="20"/>
                <w:szCs w:val="20"/>
              </w:rPr>
              <w:t xml:space="preserve">giuridico, </w:t>
            </w:r>
            <w:r w:rsidR="00080016">
              <w:rPr>
                <w:sz w:val="20"/>
                <w:szCs w:val="20"/>
              </w:rPr>
              <w:t>scientifico (con particolare riferimento a tecnologie dell’informazione, energie rinnovabili ecc.)</w:t>
            </w:r>
            <w:r w:rsidR="008C6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 inoltre estratti audio e video di discorsi originali</w:t>
            </w:r>
            <w:r w:rsidRPr="009A50F9">
              <w:rPr>
                <w:sz w:val="20"/>
                <w:szCs w:val="20"/>
              </w:rPr>
              <w:t>.</w:t>
            </w:r>
          </w:p>
          <w:p w:rsidR="00AF4DF1" w:rsidRDefault="00AF4DF1" w:rsidP="008468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previste simulazioni ed attività di interpretazione consecutiva</w:t>
            </w:r>
            <w:r w:rsidR="000800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simultanea</w:t>
            </w:r>
            <w:r w:rsidR="00080016">
              <w:rPr>
                <w:sz w:val="20"/>
                <w:szCs w:val="20"/>
              </w:rPr>
              <w:t xml:space="preserve"> e di trattativa, traduzione e versione</w:t>
            </w:r>
            <w:r>
              <w:rPr>
                <w:sz w:val="20"/>
                <w:szCs w:val="20"/>
              </w:rPr>
              <w:t>,</w:t>
            </w:r>
            <w:r w:rsidR="00080016">
              <w:rPr>
                <w:sz w:val="20"/>
                <w:szCs w:val="20"/>
              </w:rPr>
              <w:t xml:space="preserve"> con particolare attenzione a</w:t>
            </w:r>
            <w:r>
              <w:rPr>
                <w:sz w:val="20"/>
                <w:szCs w:val="20"/>
              </w:rPr>
              <w:t xml:space="preserve"> fraseologia </w:t>
            </w:r>
            <w:r w:rsidR="008C61DA">
              <w:rPr>
                <w:sz w:val="20"/>
                <w:szCs w:val="20"/>
              </w:rPr>
              <w:t xml:space="preserve">e lessico </w:t>
            </w:r>
            <w:r>
              <w:rPr>
                <w:sz w:val="20"/>
                <w:szCs w:val="20"/>
              </w:rPr>
              <w:t>inerent</w:t>
            </w:r>
            <w:r w:rsidR="008C61D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eventi specifici e tematiche di settore</w:t>
            </w:r>
            <w:r w:rsidR="00563191">
              <w:rPr>
                <w:sz w:val="20"/>
                <w:szCs w:val="20"/>
              </w:rPr>
              <w:t xml:space="preserve"> - con uno</w:t>
            </w:r>
            <w:r w:rsidR="0039673B">
              <w:rPr>
                <w:sz w:val="20"/>
                <w:szCs w:val="20"/>
              </w:rPr>
              <w:t xml:space="preserve"> sguardo anche alle varianti linguistiche della </w:t>
            </w:r>
            <w:r w:rsidR="0039673B">
              <w:rPr>
                <w:i/>
                <w:sz w:val="20"/>
                <w:szCs w:val="20"/>
              </w:rPr>
              <w:t>francophonie</w:t>
            </w:r>
            <w:r>
              <w:rPr>
                <w:sz w:val="20"/>
                <w:szCs w:val="20"/>
              </w:rPr>
              <w:t>.</w:t>
            </w:r>
          </w:p>
          <w:p w:rsidR="00AF4DF1" w:rsidRDefault="00AF4DF1" w:rsidP="008C6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Uno </w:t>
            </w:r>
            <w:r w:rsidR="008C61DA">
              <w:rPr>
                <w:sz w:val="20"/>
                <w:szCs w:val="20"/>
              </w:rPr>
              <w:t>cenno</w:t>
            </w:r>
            <w:r>
              <w:rPr>
                <w:sz w:val="20"/>
                <w:szCs w:val="20"/>
              </w:rPr>
              <w:t xml:space="preserve"> sarà riserva</w:t>
            </w:r>
            <w:r w:rsidR="008C61DA">
              <w:rPr>
                <w:sz w:val="20"/>
                <w:szCs w:val="20"/>
              </w:rPr>
              <w:t xml:space="preserve">to anche a risorse informatiche </w:t>
            </w:r>
            <w:r>
              <w:rPr>
                <w:sz w:val="20"/>
                <w:szCs w:val="20"/>
              </w:rPr>
              <w:t>e online a supporto del lavoro dell’interprete e del traduttore.</w:t>
            </w:r>
          </w:p>
        </w:tc>
      </w:tr>
      <w:tr w:rsidR="00AF4DF1" w:rsidRPr="00563191" w:rsidTr="0084683A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Default="00AF4DF1" w:rsidP="0084683A">
            <w:pPr>
              <w:jc w:val="both"/>
              <w:rPr>
                <w:sz w:val="20"/>
                <w:szCs w:val="20"/>
                <w:lang w:val="en-US"/>
              </w:rPr>
            </w:pPr>
            <w:r w:rsidRPr="001A4773">
              <w:rPr>
                <w:sz w:val="20"/>
                <w:szCs w:val="20"/>
                <w:lang w:val="en-US"/>
              </w:rPr>
              <w:t>The course focuses on strengthening language skills aimed, in particular, to translational and interpret</w:t>
            </w:r>
            <w:r w:rsidR="00E71DC3">
              <w:rPr>
                <w:sz w:val="20"/>
                <w:szCs w:val="20"/>
                <w:lang w:val="en-US"/>
              </w:rPr>
              <w:t>at</w:t>
            </w:r>
            <w:r w:rsidRPr="001A4773">
              <w:rPr>
                <w:sz w:val="20"/>
                <w:szCs w:val="20"/>
                <w:lang w:val="en-US"/>
              </w:rPr>
              <w:t>ive activities</w:t>
            </w:r>
            <w:r w:rsidR="00886E95">
              <w:rPr>
                <w:sz w:val="20"/>
                <w:szCs w:val="20"/>
                <w:lang w:val="en-US"/>
              </w:rPr>
              <w:t xml:space="preserve"> and creation of specific glossaries</w:t>
            </w:r>
            <w:r w:rsidRPr="001A4773">
              <w:rPr>
                <w:sz w:val="20"/>
                <w:szCs w:val="20"/>
                <w:lang w:val="en-US"/>
              </w:rPr>
              <w:t xml:space="preserve">. For this purpose </w:t>
            </w:r>
            <w:r w:rsidR="00886E95">
              <w:rPr>
                <w:sz w:val="20"/>
                <w:szCs w:val="20"/>
                <w:lang w:val="en-US"/>
              </w:rPr>
              <w:t xml:space="preserve">simultaneous, consecutive and liaison interpretation techniques and translation </w:t>
            </w:r>
            <w:r w:rsidRPr="001A4773">
              <w:rPr>
                <w:sz w:val="20"/>
                <w:szCs w:val="20"/>
                <w:lang w:val="en-US"/>
              </w:rPr>
              <w:t>be processed and consolidated, with attention to specialized languages.</w:t>
            </w:r>
            <w:r w:rsidRPr="001A4773">
              <w:rPr>
                <w:sz w:val="20"/>
                <w:szCs w:val="20"/>
                <w:lang w:val="en-US"/>
              </w:rPr>
              <w:br/>
              <w:t xml:space="preserve">Lessons include </w:t>
            </w:r>
            <w:r w:rsidR="00563191">
              <w:rPr>
                <w:sz w:val="20"/>
                <w:szCs w:val="20"/>
                <w:lang w:val="en-US"/>
              </w:rPr>
              <w:t xml:space="preserve">theoretical deepening </w:t>
            </w:r>
            <w:r w:rsidRPr="001A4773">
              <w:rPr>
                <w:sz w:val="20"/>
                <w:szCs w:val="20"/>
                <w:lang w:val="en-US"/>
              </w:rPr>
              <w:t xml:space="preserve">about issues, methodology and </w:t>
            </w:r>
            <w:r>
              <w:rPr>
                <w:sz w:val="20"/>
                <w:szCs w:val="20"/>
                <w:lang w:val="en-US"/>
              </w:rPr>
              <w:t>questions</w:t>
            </w:r>
            <w:r w:rsidRPr="001A4773">
              <w:rPr>
                <w:sz w:val="20"/>
                <w:szCs w:val="20"/>
                <w:lang w:val="en-US"/>
              </w:rPr>
              <w:t xml:space="preserve"> related to translation and interpretation from Italian to French and vice versa, and a practical part with exercises of linguistic analysis and translation of different text types. </w:t>
            </w:r>
            <w:r w:rsidR="00E71DC3">
              <w:rPr>
                <w:sz w:val="20"/>
                <w:szCs w:val="20"/>
                <w:lang w:val="en-US"/>
              </w:rPr>
              <w:t>W</w:t>
            </w:r>
            <w:r w:rsidRPr="001A4773">
              <w:rPr>
                <w:sz w:val="20"/>
                <w:szCs w:val="20"/>
                <w:lang w:val="en-US"/>
              </w:rPr>
              <w:t xml:space="preserve">e will use authentic documents, also taken from the web, related to </w:t>
            </w:r>
            <w:r w:rsidR="00563191">
              <w:rPr>
                <w:sz w:val="20"/>
                <w:szCs w:val="20"/>
                <w:lang w:val="en-US"/>
              </w:rPr>
              <w:t>politics</w:t>
            </w:r>
            <w:r w:rsidRPr="001A4773">
              <w:rPr>
                <w:sz w:val="20"/>
                <w:szCs w:val="20"/>
                <w:lang w:val="en-US"/>
              </w:rPr>
              <w:t xml:space="preserve">, </w:t>
            </w:r>
            <w:r w:rsidR="00563191">
              <w:rPr>
                <w:sz w:val="20"/>
                <w:szCs w:val="20"/>
                <w:lang w:val="en-US"/>
              </w:rPr>
              <w:t>law</w:t>
            </w:r>
            <w:r w:rsidRPr="001A4773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="00DB5B2F">
              <w:rPr>
                <w:sz w:val="20"/>
                <w:szCs w:val="20"/>
                <w:lang w:val="en-US"/>
              </w:rPr>
              <w:t>medical</w:t>
            </w:r>
            <w:proofErr w:type="gramEnd"/>
            <w:r w:rsidRPr="001A4773">
              <w:rPr>
                <w:sz w:val="20"/>
                <w:szCs w:val="20"/>
                <w:lang w:val="en-US"/>
              </w:rPr>
              <w:t xml:space="preserve">, </w:t>
            </w:r>
            <w:r w:rsidR="00DB5B2F">
              <w:rPr>
                <w:sz w:val="20"/>
                <w:szCs w:val="20"/>
                <w:lang w:val="en-US"/>
              </w:rPr>
              <w:t>scientific (IT, renewable energy)</w:t>
            </w:r>
            <w:r w:rsidR="00563191">
              <w:rPr>
                <w:sz w:val="20"/>
                <w:szCs w:val="20"/>
                <w:lang w:val="en-US"/>
              </w:rPr>
              <w:t xml:space="preserve"> and </w:t>
            </w:r>
            <w:r w:rsidRPr="001A4773">
              <w:rPr>
                <w:sz w:val="20"/>
                <w:szCs w:val="20"/>
                <w:lang w:val="en-US"/>
              </w:rPr>
              <w:t xml:space="preserve">topical </w:t>
            </w:r>
            <w:r w:rsidR="00563191">
              <w:rPr>
                <w:sz w:val="20"/>
                <w:szCs w:val="20"/>
                <w:lang w:val="en-US"/>
              </w:rPr>
              <w:t>issues</w:t>
            </w:r>
            <w:r w:rsidRPr="001A4773">
              <w:rPr>
                <w:sz w:val="20"/>
                <w:szCs w:val="20"/>
                <w:lang w:val="en-US"/>
              </w:rPr>
              <w:t xml:space="preserve">, and video and audio </w:t>
            </w:r>
            <w:r w:rsidR="00E71DC3">
              <w:rPr>
                <w:sz w:val="20"/>
                <w:szCs w:val="20"/>
                <w:lang w:val="en-US"/>
              </w:rPr>
              <w:t xml:space="preserve">extracts </w:t>
            </w:r>
            <w:r w:rsidRPr="001A4773">
              <w:rPr>
                <w:sz w:val="20"/>
                <w:szCs w:val="20"/>
                <w:lang w:val="en-US"/>
              </w:rPr>
              <w:t>from original speeches.</w:t>
            </w:r>
          </w:p>
          <w:p w:rsidR="00AF4DF1" w:rsidRDefault="00AF4DF1" w:rsidP="00C74F10">
            <w:pPr>
              <w:jc w:val="both"/>
              <w:rPr>
                <w:sz w:val="20"/>
                <w:szCs w:val="20"/>
                <w:lang w:val="en-US"/>
              </w:rPr>
            </w:pPr>
            <w:r w:rsidRPr="001A4773">
              <w:rPr>
                <w:sz w:val="20"/>
                <w:szCs w:val="20"/>
                <w:lang w:val="en-US"/>
              </w:rPr>
              <w:t xml:space="preserve">Simulations and consecutive and simultaneous interpreting activities will be practiced </w:t>
            </w:r>
            <w:r w:rsidR="00AE09BA">
              <w:rPr>
                <w:sz w:val="20"/>
                <w:szCs w:val="20"/>
                <w:lang w:val="en-US"/>
              </w:rPr>
              <w:t>together with</w:t>
            </w:r>
            <w:r w:rsidRPr="001A4773">
              <w:rPr>
                <w:sz w:val="20"/>
                <w:szCs w:val="20"/>
                <w:lang w:val="en-US"/>
              </w:rPr>
              <w:t xml:space="preserve"> exercises </w:t>
            </w:r>
            <w:r w:rsidR="00563191">
              <w:rPr>
                <w:sz w:val="20"/>
                <w:szCs w:val="20"/>
                <w:lang w:val="en-US"/>
              </w:rPr>
              <w:t xml:space="preserve">on French language </w:t>
            </w:r>
            <w:r w:rsidRPr="001A4773">
              <w:rPr>
                <w:sz w:val="20"/>
                <w:szCs w:val="20"/>
                <w:lang w:val="en-US"/>
              </w:rPr>
              <w:t xml:space="preserve">with a particular attention to phraseology </w:t>
            </w:r>
            <w:r w:rsidR="00563191">
              <w:rPr>
                <w:sz w:val="20"/>
                <w:szCs w:val="20"/>
                <w:lang w:val="en-US"/>
              </w:rPr>
              <w:t xml:space="preserve">and vocabulary about </w:t>
            </w:r>
            <w:r w:rsidRPr="001A4773">
              <w:rPr>
                <w:sz w:val="20"/>
                <w:szCs w:val="20"/>
                <w:lang w:val="en-US"/>
              </w:rPr>
              <w:t xml:space="preserve">specific events and </w:t>
            </w:r>
            <w:r>
              <w:rPr>
                <w:sz w:val="20"/>
                <w:szCs w:val="20"/>
                <w:lang w:val="en-US"/>
              </w:rPr>
              <w:t>contexts</w:t>
            </w:r>
            <w:r w:rsidR="00563191">
              <w:rPr>
                <w:sz w:val="20"/>
                <w:szCs w:val="20"/>
                <w:lang w:val="en-US"/>
              </w:rPr>
              <w:t xml:space="preserve"> - a look will be given to the variants of the </w:t>
            </w:r>
            <w:proofErr w:type="spellStart"/>
            <w:proofErr w:type="gramStart"/>
            <w:r w:rsidR="00DB5B2F">
              <w:rPr>
                <w:i/>
                <w:sz w:val="20"/>
                <w:szCs w:val="20"/>
                <w:lang w:val="en-US"/>
              </w:rPr>
              <w:t>francophonie</w:t>
            </w:r>
            <w:proofErr w:type="spellEnd"/>
            <w:r w:rsidR="00563191">
              <w:rPr>
                <w:sz w:val="20"/>
                <w:szCs w:val="20"/>
                <w:lang w:val="en-US"/>
              </w:rPr>
              <w:t xml:space="preserve"> </w:t>
            </w:r>
            <w:r w:rsidRPr="001A4773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:rsidR="00AF4DF1" w:rsidRPr="00236EF7" w:rsidRDefault="00AF4DF1" w:rsidP="00AE09BA">
            <w:pPr>
              <w:rPr>
                <w:sz w:val="20"/>
                <w:szCs w:val="20"/>
                <w:lang w:val="en-US"/>
              </w:rPr>
            </w:pPr>
            <w:r w:rsidRPr="00236EF7">
              <w:rPr>
                <w:sz w:val="20"/>
                <w:szCs w:val="20"/>
                <w:lang w:val="en-US"/>
              </w:rPr>
              <w:t xml:space="preserve">A </w:t>
            </w:r>
            <w:r w:rsidR="00AE09BA">
              <w:rPr>
                <w:sz w:val="20"/>
                <w:szCs w:val="20"/>
                <w:lang w:val="en-US"/>
              </w:rPr>
              <w:t>mention</w:t>
            </w:r>
            <w:r>
              <w:rPr>
                <w:sz w:val="20"/>
                <w:szCs w:val="20"/>
                <w:lang w:val="en-US"/>
              </w:rPr>
              <w:t xml:space="preserve"> will </w:t>
            </w:r>
            <w:r w:rsidRPr="00236EF7">
              <w:rPr>
                <w:sz w:val="20"/>
                <w:szCs w:val="20"/>
                <w:lang w:val="en-US"/>
              </w:rPr>
              <w:t xml:space="preserve">also be reserved </w:t>
            </w:r>
            <w:r>
              <w:rPr>
                <w:sz w:val="20"/>
                <w:szCs w:val="20"/>
                <w:lang w:val="en-US"/>
              </w:rPr>
              <w:t>to</w:t>
            </w:r>
            <w:r w:rsidRPr="00236EF7">
              <w:rPr>
                <w:sz w:val="20"/>
                <w:szCs w:val="20"/>
                <w:lang w:val="en-US"/>
              </w:rPr>
              <w:t xml:space="preserve"> computer and online resources to support the work of the interpreter and translator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AF4DF1" w:rsidRPr="00C17695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tu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</w:p>
          <w:p w:rsidR="00AF4DF1" w:rsidRPr="00236EF7" w:rsidRDefault="00AF4DF1" w:rsidP="0084683A">
            <w:pPr>
              <w:pStyle w:val="Ttu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Il docente metterà a disposizione degli studenti materiali didattici e dispense</w:t>
            </w:r>
            <w:r w:rsidR="00A11B4D">
              <w:rPr>
                <w:b w:val="0"/>
                <w:sz w:val="20"/>
              </w:rPr>
              <w:t xml:space="preserve"> e fornirà ulteriori materiali di approfondimento</w:t>
            </w:r>
            <w:r w:rsidRPr="00236EF7">
              <w:rPr>
                <w:b w:val="0"/>
                <w:sz w:val="20"/>
              </w:rPr>
              <w:t>.</w:t>
            </w:r>
          </w:p>
          <w:p w:rsidR="00AF4DF1" w:rsidRDefault="00AF4DF1" w:rsidP="0084683A">
            <w:pPr>
              <w:pStyle w:val="Ttu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Nel corso delle lezioni saranno utilizzati testi, saggi, articoli e documenti audio-video.</w:t>
            </w:r>
          </w:p>
          <w:p w:rsidR="00153761" w:rsidRPr="00236EF7" w:rsidRDefault="00153761" w:rsidP="0084683A">
            <w:pPr>
              <w:pStyle w:val="Ttu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</w:p>
          <w:p w:rsidR="009E364D" w:rsidRPr="009E364D" w:rsidRDefault="009E364D" w:rsidP="009E364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E364D">
              <w:rPr>
                <w:b/>
                <w:sz w:val="20"/>
                <w:szCs w:val="20"/>
                <w:lang w:val="fr-FR"/>
              </w:rPr>
              <w:t>Méthode:</w:t>
            </w:r>
          </w:p>
          <w:p w:rsidR="009E364D" w:rsidRDefault="009E364D" w:rsidP="009E364D">
            <w:pPr>
              <w:rPr>
                <w:sz w:val="20"/>
                <w:szCs w:val="20"/>
                <w:lang w:val="fr-FR"/>
              </w:rPr>
            </w:pPr>
            <w:r w:rsidRPr="00D8001C">
              <w:rPr>
                <w:sz w:val="20"/>
                <w:szCs w:val="20"/>
                <w:lang w:val="fr-FR"/>
              </w:rPr>
              <w:t>A. B</w:t>
            </w:r>
            <w:r>
              <w:rPr>
                <w:sz w:val="20"/>
                <w:szCs w:val="20"/>
                <w:lang w:val="fr-FR"/>
              </w:rPr>
              <w:t xml:space="preserve">ERTHET </w:t>
            </w:r>
            <w:r w:rsidRPr="00D8001C">
              <w:rPr>
                <w:sz w:val="20"/>
                <w:szCs w:val="20"/>
                <w:lang w:val="fr-FR"/>
              </w:rPr>
              <w:t xml:space="preserve">et </w:t>
            </w:r>
            <w:r w:rsidR="00352CDE">
              <w:rPr>
                <w:sz w:val="20"/>
                <w:szCs w:val="20"/>
                <w:lang w:val="fr-FR"/>
              </w:rPr>
              <w:t>LOUVEL C.</w:t>
            </w:r>
            <w:r w:rsidRPr="00D8001C">
              <w:rPr>
                <w:sz w:val="20"/>
                <w:szCs w:val="20"/>
                <w:lang w:val="fr-FR"/>
              </w:rPr>
              <w:t xml:space="preserve">, </w:t>
            </w:r>
            <w:r w:rsidRPr="00D8001C">
              <w:rPr>
                <w:i/>
                <w:sz w:val="20"/>
                <w:szCs w:val="20"/>
                <w:lang w:val="fr-FR"/>
              </w:rPr>
              <w:t xml:space="preserve">Alter ego </w:t>
            </w:r>
            <w:r>
              <w:rPr>
                <w:i/>
                <w:sz w:val="20"/>
                <w:szCs w:val="20"/>
                <w:lang w:val="fr-FR"/>
              </w:rPr>
              <w:t xml:space="preserve">5 </w:t>
            </w:r>
            <w:r w:rsidRPr="00D8001C">
              <w:rPr>
                <w:i/>
                <w:sz w:val="20"/>
                <w:szCs w:val="20"/>
                <w:lang w:val="fr-FR"/>
              </w:rPr>
              <w:t>C1-C2</w:t>
            </w:r>
            <w:r w:rsidR="00352CDE">
              <w:rPr>
                <w:sz w:val="20"/>
                <w:szCs w:val="20"/>
                <w:lang w:val="fr-FR"/>
              </w:rPr>
              <w:t xml:space="preserve">. </w:t>
            </w:r>
            <w:r w:rsidR="00352CDE" w:rsidRPr="00352CDE">
              <w:rPr>
                <w:i/>
                <w:sz w:val="20"/>
                <w:szCs w:val="20"/>
                <w:lang w:val="fr-FR"/>
              </w:rPr>
              <w:t>Cahier de perfectionnement</w:t>
            </w:r>
            <w:r w:rsidR="00352CDE">
              <w:rPr>
                <w:sz w:val="20"/>
                <w:szCs w:val="20"/>
                <w:lang w:val="fr-FR"/>
              </w:rPr>
              <w:t xml:space="preserve">, </w:t>
            </w:r>
            <w:r w:rsidRPr="00D8001C">
              <w:rPr>
                <w:sz w:val="20"/>
                <w:szCs w:val="20"/>
                <w:lang w:val="fr-FR"/>
              </w:rPr>
              <w:t xml:space="preserve"> Hachette, Paris,</w:t>
            </w:r>
            <w:r w:rsidR="00352CDE">
              <w:rPr>
                <w:sz w:val="20"/>
                <w:szCs w:val="20"/>
                <w:lang w:val="fr-FR"/>
              </w:rPr>
              <w:t xml:space="preserve"> </w:t>
            </w:r>
            <w:r w:rsidRPr="00D8001C">
              <w:rPr>
                <w:sz w:val="20"/>
                <w:szCs w:val="20"/>
                <w:lang w:val="fr-FR"/>
              </w:rPr>
              <w:t>20</w:t>
            </w:r>
            <w:r w:rsidR="00352CDE">
              <w:rPr>
                <w:sz w:val="20"/>
                <w:szCs w:val="20"/>
                <w:lang w:val="fr-FR"/>
              </w:rPr>
              <w:t>10</w:t>
            </w:r>
            <w:r w:rsidRPr="00D8001C">
              <w:rPr>
                <w:sz w:val="20"/>
                <w:szCs w:val="20"/>
                <w:lang w:val="fr-FR"/>
              </w:rPr>
              <w:t>.</w:t>
            </w:r>
          </w:p>
          <w:p w:rsidR="009E364D" w:rsidRDefault="009E364D" w:rsidP="009E364D">
            <w:pPr>
              <w:rPr>
                <w:sz w:val="20"/>
                <w:szCs w:val="20"/>
                <w:lang w:val="fr-FR"/>
              </w:rPr>
            </w:pPr>
          </w:p>
          <w:p w:rsidR="009E364D" w:rsidRPr="00D8001C" w:rsidRDefault="009E364D" w:rsidP="009E364D">
            <w:pPr>
              <w:jc w:val="both"/>
              <w:rPr>
                <w:sz w:val="20"/>
                <w:szCs w:val="20"/>
                <w:lang w:val="fr-FR"/>
              </w:rPr>
            </w:pPr>
            <w:r w:rsidRPr="00D8001C">
              <w:rPr>
                <w:b/>
                <w:sz w:val="20"/>
                <w:szCs w:val="20"/>
                <w:lang w:val="fr-FR"/>
              </w:rPr>
              <w:t>Le</w:t>
            </w:r>
            <w:r w:rsidR="00F2742F">
              <w:rPr>
                <w:b/>
                <w:sz w:val="20"/>
                <w:szCs w:val="20"/>
                <w:lang w:val="fr-FR"/>
              </w:rPr>
              <w:t>xique et langue spécialisée</w:t>
            </w:r>
            <w:r w:rsidRPr="00D8001C">
              <w:rPr>
                <w:b/>
                <w:sz w:val="20"/>
                <w:szCs w:val="20"/>
                <w:lang w:val="fr-FR"/>
              </w:rPr>
              <w:t>:</w:t>
            </w:r>
            <w:r w:rsidRPr="00D8001C">
              <w:rPr>
                <w:sz w:val="20"/>
                <w:szCs w:val="20"/>
                <w:lang w:val="fr-FR"/>
              </w:rPr>
              <w:t xml:space="preserve"> </w:t>
            </w:r>
          </w:p>
          <w:p w:rsidR="009E364D" w:rsidRPr="00534843" w:rsidRDefault="009E364D" w:rsidP="009E364D">
            <w:pPr>
              <w:jc w:val="both"/>
              <w:rPr>
                <w:sz w:val="20"/>
                <w:szCs w:val="20"/>
                <w:lang w:val="fr-FR"/>
              </w:rPr>
            </w:pPr>
            <w:r w:rsidRPr="00534843">
              <w:rPr>
                <w:sz w:val="20"/>
                <w:szCs w:val="20"/>
                <w:lang w:val="fr-FR"/>
              </w:rPr>
              <w:t xml:space="preserve">- Pierre </w:t>
            </w:r>
            <w:proofErr w:type="spellStart"/>
            <w:r>
              <w:rPr>
                <w:sz w:val="20"/>
                <w:szCs w:val="20"/>
                <w:lang w:val="fr-FR"/>
              </w:rPr>
              <w:t>LERAT</w:t>
            </w:r>
            <w:proofErr w:type="spellEnd"/>
            <w:r w:rsidRPr="00534843">
              <w:rPr>
                <w:sz w:val="20"/>
                <w:szCs w:val="20"/>
                <w:lang w:val="fr-FR"/>
              </w:rPr>
              <w:t xml:space="preserve">, </w:t>
            </w:r>
            <w:r w:rsidRPr="00534843">
              <w:rPr>
                <w:i/>
                <w:sz w:val="20"/>
                <w:szCs w:val="20"/>
                <w:lang w:val="fr-FR"/>
              </w:rPr>
              <w:t>Approches linguistiques des langues spécialisées</w:t>
            </w:r>
            <w:r w:rsidRPr="0053484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34843">
              <w:rPr>
                <w:sz w:val="20"/>
                <w:szCs w:val="20"/>
                <w:lang w:val="fr-FR"/>
              </w:rPr>
              <w:t>ASp</w:t>
            </w:r>
            <w:proofErr w:type="spellEnd"/>
            <w:r w:rsidRPr="00534843">
              <w:rPr>
                <w:sz w:val="20"/>
                <w:szCs w:val="20"/>
                <w:lang w:val="fr-FR"/>
              </w:rPr>
              <w:t xml:space="preserve"> [En ligne], 15-18 | 1997</w:t>
            </w:r>
          </w:p>
          <w:p w:rsidR="009E364D" w:rsidRDefault="009E364D" w:rsidP="009E364D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:rsidR="009E364D" w:rsidRDefault="009E364D" w:rsidP="009E364D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534843">
              <w:rPr>
                <w:sz w:val="20"/>
                <w:szCs w:val="20"/>
                <w:lang w:val="fr-FR"/>
              </w:rPr>
              <w:t xml:space="preserve">Jean Marc </w:t>
            </w:r>
            <w:proofErr w:type="spellStart"/>
            <w:r>
              <w:rPr>
                <w:sz w:val="20"/>
                <w:szCs w:val="20"/>
                <w:lang w:val="fr-FR"/>
              </w:rPr>
              <w:t>MANGIANTE</w:t>
            </w:r>
            <w:proofErr w:type="spellEnd"/>
            <w:r w:rsidRPr="00534843">
              <w:rPr>
                <w:sz w:val="20"/>
                <w:szCs w:val="20"/>
                <w:lang w:val="fr-FR"/>
              </w:rPr>
              <w:t xml:space="preserve">, </w:t>
            </w:r>
            <w:r w:rsidRPr="00534843">
              <w:rPr>
                <w:i/>
                <w:sz w:val="20"/>
                <w:szCs w:val="20"/>
                <w:lang w:val="fr-FR"/>
              </w:rPr>
              <w:t>Français de spécialité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32CD0">
              <w:rPr>
                <w:i/>
                <w:sz w:val="20"/>
                <w:szCs w:val="20"/>
                <w:lang w:val="fr-FR"/>
              </w:rPr>
              <w:t>ou français sur objectif spécifique: deux démarches didactiques distinctes</w:t>
            </w:r>
          </w:p>
          <w:p w:rsidR="00563191" w:rsidRDefault="00563191" w:rsidP="009E364D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:rsidR="00CF2387" w:rsidRPr="00CB6177" w:rsidRDefault="00CF2387" w:rsidP="00CF2387">
            <w:pPr>
              <w:pStyle w:val="Ttulo"/>
              <w:tabs>
                <w:tab w:val="left" w:pos="1140"/>
              </w:tabs>
              <w:spacing w:before="120" w:after="120"/>
              <w:ind w:right="113"/>
              <w:jc w:val="both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Teoria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della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traduzione</w:t>
            </w:r>
            <w:proofErr w:type="spellEnd"/>
            <w:r>
              <w:rPr>
                <w:sz w:val="20"/>
                <w:lang w:val="fr-FR"/>
              </w:rPr>
              <w:t xml:space="preserve"> e </w:t>
            </w:r>
            <w:proofErr w:type="spellStart"/>
            <w:r>
              <w:rPr>
                <w:sz w:val="20"/>
                <w:lang w:val="fr-FR"/>
              </w:rPr>
              <w:t>dell’interpretariato</w:t>
            </w:r>
            <w:proofErr w:type="spellEnd"/>
            <w:r w:rsidRPr="00CB6177">
              <w:rPr>
                <w:sz w:val="20"/>
                <w:lang w:val="fr-FR"/>
              </w:rPr>
              <w:t>:</w:t>
            </w:r>
          </w:p>
          <w:p w:rsidR="00CF2387" w:rsidRDefault="00CF2387" w:rsidP="00CF238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B6177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AA.VV., </w:t>
            </w:r>
            <w:r>
              <w:rPr>
                <w:i/>
                <w:color w:val="auto"/>
                <w:sz w:val="20"/>
                <w:szCs w:val="20"/>
              </w:rPr>
              <w:t xml:space="preserve">Interpretazione Simultanea e Consecutiva, </w:t>
            </w:r>
            <w:r>
              <w:rPr>
                <w:color w:val="auto"/>
                <w:sz w:val="20"/>
                <w:szCs w:val="20"/>
              </w:rPr>
              <w:t>a cura di Caterina Falbo, Mariachiara Russo e Federico Straniero Sergio, Heopli, Milano 1999.</w:t>
            </w:r>
          </w:p>
          <w:p w:rsidR="00CF2387" w:rsidRPr="00117D35" w:rsidRDefault="00CF2387" w:rsidP="00CF2387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AA.VV., </w:t>
            </w:r>
            <w:r>
              <w:rPr>
                <w:i/>
                <w:color w:val="auto"/>
                <w:sz w:val="20"/>
                <w:szCs w:val="20"/>
              </w:rPr>
              <w:t xml:space="preserve">Interpretazione di Trattativa, </w:t>
            </w:r>
            <w:r>
              <w:rPr>
                <w:color w:val="auto"/>
                <w:sz w:val="20"/>
                <w:szCs w:val="20"/>
              </w:rPr>
              <w:t>a cura di M.Russo e G. Mack, Hoepli, Milano 200</w:t>
            </w:r>
            <w:r w:rsidRPr="00117D35">
              <w:rPr>
                <w:color w:val="auto"/>
                <w:sz w:val="20"/>
                <w:szCs w:val="20"/>
              </w:rPr>
              <w:t>5</w:t>
            </w:r>
            <w:r w:rsidRPr="00117D35">
              <w:rPr>
                <w:b/>
                <w:color w:val="auto"/>
                <w:sz w:val="20"/>
                <w:szCs w:val="20"/>
              </w:rPr>
              <w:t>.</w:t>
            </w:r>
          </w:p>
          <w:p w:rsidR="00CF2387" w:rsidRPr="00890611" w:rsidRDefault="00CF2387" w:rsidP="00CF238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117D35">
              <w:rPr>
                <w:b/>
                <w:sz w:val="20"/>
              </w:rPr>
              <w:t xml:space="preserve">- </w:t>
            </w:r>
            <w:r w:rsidRPr="00117D35">
              <w:rPr>
                <w:sz w:val="20"/>
              </w:rPr>
              <w:t>AA.VV.,</w:t>
            </w:r>
            <w:r>
              <w:rPr>
                <w:b/>
                <w:sz w:val="20"/>
              </w:rPr>
              <w:t xml:space="preserve"> </w:t>
            </w:r>
            <w:r w:rsidRPr="00117D35">
              <w:rPr>
                <w:i/>
                <w:sz w:val="20"/>
              </w:rPr>
              <w:t xml:space="preserve">Manuale di Terminologia, Aspetti Teorici, Metodologici e Applicativi, </w:t>
            </w:r>
            <w:r w:rsidRPr="00117D35">
              <w:rPr>
                <w:sz w:val="20"/>
              </w:rPr>
              <w:t>a cura di Marella Magris, Maria Teresa Musacchio, Lorenza Rega e Federica Scarpa, Hoepli, Milano 2001</w:t>
            </w:r>
            <w:r>
              <w:rPr>
                <w:b/>
                <w:sz w:val="20"/>
              </w:rPr>
              <w:t>.</w:t>
            </w:r>
          </w:p>
          <w:p w:rsidR="00CF2387" w:rsidRDefault="00CF2387" w:rsidP="00CF2387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</w:p>
          <w:p w:rsidR="00CF2387" w:rsidRDefault="00CF2387" w:rsidP="00CF2387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Grammatica della lingua francese:</w:t>
            </w:r>
          </w:p>
          <w:p w:rsidR="00CF2387" w:rsidRPr="00920E58" w:rsidRDefault="00CF2387" w:rsidP="00CF2387">
            <w:pPr>
              <w:pStyle w:val="Ttulo"/>
              <w:numPr>
                <w:ilvl w:val="0"/>
                <w:numId w:val="5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 w:rsidRPr="00022E36">
              <w:rPr>
                <w:b w:val="0"/>
                <w:color w:val="333333"/>
                <w:sz w:val="20"/>
                <w:shd w:val="clear" w:color="auto" w:fill="FFFFFF"/>
              </w:rPr>
              <w:t>GREVISSE (M.), GOOSE (A.), Le bon Usage, Paris - Louvain-la-Neuve, DeBoek Université 2011, 15a ed. (ma anche precedenti) </w:t>
            </w:r>
          </w:p>
          <w:p w:rsidR="00CF2387" w:rsidRPr="00920E58" w:rsidRDefault="00CF2387" w:rsidP="00CF2387">
            <w:pPr>
              <w:pStyle w:val="Ttulo"/>
              <w:numPr>
                <w:ilvl w:val="0"/>
                <w:numId w:val="5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 w:rsidRPr="00920E58">
              <w:rPr>
                <w:b w:val="0"/>
                <w:color w:val="333333"/>
                <w:sz w:val="20"/>
                <w:shd w:val="clear" w:color="auto" w:fill="FFFFFF"/>
              </w:rPr>
              <w:t>RIEGEL (M.), PELLAT (J.Ch.), RIOUL (R.), Grammaire méthodique du français, Paris, P.U.F. 1999 (o successive)</w:t>
            </w:r>
          </w:p>
          <w:p w:rsidR="00CF2387" w:rsidRDefault="00CF2387" w:rsidP="00CF2387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color w:val="333333"/>
                <w:sz w:val="20"/>
                <w:shd w:val="clear" w:color="auto" w:fill="FFFFFF"/>
              </w:rPr>
            </w:pPr>
          </w:p>
          <w:p w:rsidR="00CF2387" w:rsidRDefault="00CF2387" w:rsidP="00CF2387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color w:val="333333"/>
                <w:sz w:val="20"/>
                <w:shd w:val="clear" w:color="auto" w:fill="FFFFFF"/>
              </w:rPr>
            </w:pPr>
            <w:r>
              <w:rPr>
                <w:color w:val="333333"/>
                <w:sz w:val="20"/>
                <w:shd w:val="clear" w:color="auto" w:fill="FFFFFF"/>
              </w:rPr>
              <w:t>Dizionari bilingue:</w:t>
            </w:r>
          </w:p>
          <w:p w:rsidR="00CF2387" w:rsidRPr="00920E58" w:rsidRDefault="00CF2387" w:rsidP="00CF2387">
            <w:pPr>
              <w:pStyle w:val="Ttulo"/>
              <w:numPr>
                <w:ilvl w:val="0"/>
                <w:numId w:val="5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sz w:val="20"/>
              </w:rPr>
            </w:pPr>
            <w:r>
              <w:rPr>
                <w:b w:val="0"/>
                <w:color w:val="333333"/>
                <w:sz w:val="20"/>
                <w:shd w:val="clear" w:color="auto" w:fill="FFFFFF"/>
              </w:rPr>
              <w:t>Raoul BOCH, il Boch, VI edizione, Zanichelli 2014</w:t>
            </w:r>
          </w:p>
          <w:p w:rsidR="00CF2387" w:rsidRPr="00872F23" w:rsidRDefault="00CF2387" w:rsidP="00CF2387">
            <w:pPr>
              <w:pStyle w:val="Ttulo"/>
              <w:numPr>
                <w:ilvl w:val="0"/>
                <w:numId w:val="5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sz w:val="20"/>
              </w:rPr>
            </w:pPr>
            <w:r>
              <w:rPr>
                <w:b w:val="0"/>
                <w:color w:val="333333"/>
                <w:sz w:val="20"/>
                <w:shd w:val="clear" w:color="auto" w:fill="FFFFFF"/>
              </w:rPr>
              <w:t>Larousse Francese, Rizzoli Larousse, 2006</w:t>
            </w:r>
          </w:p>
          <w:p w:rsidR="00CF2387" w:rsidRDefault="00CF2387" w:rsidP="00CF2387">
            <w:pPr>
              <w:pStyle w:val="Ttulo"/>
              <w:tabs>
                <w:tab w:val="left" w:pos="1140"/>
              </w:tabs>
              <w:spacing w:line="276" w:lineRule="auto"/>
              <w:ind w:left="360" w:right="113"/>
              <w:jc w:val="both"/>
              <w:rPr>
                <w:b w:val="0"/>
                <w:color w:val="333333"/>
                <w:sz w:val="20"/>
                <w:shd w:val="clear" w:color="auto" w:fill="FFFFFF"/>
              </w:rPr>
            </w:pPr>
          </w:p>
          <w:p w:rsidR="00CF2387" w:rsidRDefault="00CF2387" w:rsidP="00CF2387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color w:val="333333"/>
                <w:sz w:val="20"/>
                <w:shd w:val="clear" w:color="auto" w:fill="FFFFFF"/>
              </w:rPr>
            </w:pPr>
            <w:r>
              <w:rPr>
                <w:color w:val="333333"/>
                <w:sz w:val="20"/>
                <w:shd w:val="clear" w:color="auto" w:fill="FFFFFF"/>
              </w:rPr>
              <w:t>Dizionari monolingue:</w:t>
            </w:r>
          </w:p>
          <w:p w:rsidR="00CF2387" w:rsidRPr="00872F23" w:rsidRDefault="00CF2387" w:rsidP="00CF2387">
            <w:pPr>
              <w:pStyle w:val="Ttulo"/>
              <w:numPr>
                <w:ilvl w:val="0"/>
                <w:numId w:val="5"/>
              </w:numPr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 w:rsidRPr="00872F23">
              <w:rPr>
                <w:b w:val="0"/>
                <w:color w:val="333333"/>
                <w:sz w:val="20"/>
                <w:shd w:val="clear" w:color="auto" w:fill="FFFFFF"/>
              </w:rPr>
              <w:t xml:space="preserve">Le Nouveau Petit Robert. Dictionnaire alphabétique et analogique de la langue française sous la direction de REY-BOVE (J.), REY (A.), Paris SNL Le </w:t>
            </w:r>
            <w:r>
              <w:rPr>
                <w:b w:val="0"/>
                <w:color w:val="333333"/>
                <w:sz w:val="20"/>
                <w:shd w:val="clear" w:color="auto" w:fill="FFFFFF"/>
              </w:rPr>
              <w:t>Robert</w:t>
            </w:r>
            <w:r w:rsidRPr="00872F23">
              <w:rPr>
                <w:b w:val="0"/>
                <w:color w:val="333333"/>
                <w:sz w:val="20"/>
                <w:shd w:val="clear" w:color="auto" w:fill="FFFFFF"/>
              </w:rPr>
              <w:t>. </w:t>
            </w:r>
          </w:p>
          <w:p w:rsidR="00CF2387" w:rsidRDefault="00CF2387" w:rsidP="00CF2387">
            <w:pPr>
              <w:pStyle w:val="Ttulo"/>
              <w:tabs>
                <w:tab w:val="left" w:pos="1140"/>
              </w:tabs>
              <w:spacing w:line="276" w:lineRule="auto"/>
              <w:ind w:left="720" w:right="113"/>
              <w:jc w:val="both"/>
              <w:rPr>
                <w:b w:val="0"/>
                <w:color w:val="333333"/>
                <w:sz w:val="20"/>
                <w:shd w:val="clear" w:color="auto" w:fill="FFFFFF"/>
              </w:rPr>
            </w:pPr>
          </w:p>
          <w:p w:rsidR="005328F3" w:rsidRPr="00DB5B2F" w:rsidRDefault="005328F3" w:rsidP="00480AD1">
            <w:pPr>
              <w:pStyle w:val="Ttu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</w:p>
        </w:tc>
      </w:tr>
      <w:tr w:rsidR="00AF4DF1" w:rsidTr="0084683A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AF4DF1" w:rsidRDefault="00AF4DF1" w:rsidP="00563191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4605D7" w:rsidP="0084683A">
            <w:pPr>
              <w:pStyle w:val="Prrafodelista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</w:t>
            </w:r>
            <w:r w:rsidR="00AF4DF1">
              <w:rPr>
                <w:sz w:val="20"/>
                <w:szCs w:val="20"/>
              </w:rPr>
              <w:t xml:space="preserve"> degli aspetti fonetici, fonologici, morfologici, sintattici, idiomatici e pragmatici della lingua.</w:t>
            </w:r>
          </w:p>
          <w:p w:rsidR="00AF4DF1" w:rsidRDefault="00AF4DF1" w:rsidP="0084683A">
            <w:pPr>
              <w:pStyle w:val="Prrafodelista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Affinamento del</w:t>
            </w:r>
            <w:r w:rsidRPr="008F1C43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competenze necessarie alla traduzione e interpretazione IT&gt;FR e FR&gt;IT.</w:t>
            </w:r>
          </w:p>
          <w:p w:rsidR="00AF4DF1" w:rsidRDefault="00AF4DF1" w:rsidP="0084683A">
            <w:pPr>
              <w:pStyle w:val="Prrafodelista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Padronanza delle </w:t>
            </w:r>
            <w:r w:rsidRPr="008F1C43">
              <w:rPr>
                <w:sz w:val="20"/>
                <w:szCs w:val="20"/>
              </w:rPr>
              <w:t xml:space="preserve">risorse linguistiche atte alla comprensione, </w:t>
            </w:r>
            <w:r>
              <w:rPr>
                <w:sz w:val="20"/>
                <w:szCs w:val="20"/>
              </w:rPr>
              <w:t xml:space="preserve">analisi e </w:t>
            </w:r>
            <w:r w:rsidRPr="008F1C43">
              <w:rPr>
                <w:sz w:val="20"/>
                <w:szCs w:val="20"/>
              </w:rPr>
              <w:t>produzione di testi scritti e orali in lingua, anche nell’ambito di linguaggi settoriali.</w:t>
            </w:r>
          </w:p>
          <w:p w:rsidR="00AF4DF1" w:rsidRPr="00236EF7" w:rsidRDefault="00AF4DF1" w:rsidP="0084683A">
            <w:pPr>
              <w:pStyle w:val="Prrafodelista"/>
              <w:numPr>
                <w:ilvl w:val="0"/>
                <w:numId w:val="2"/>
              </w:numPr>
              <w:ind w:left="289" w:hanging="141"/>
              <w:rPr>
                <w:sz w:val="20"/>
                <w:szCs w:val="20"/>
              </w:rPr>
            </w:pPr>
            <w:r w:rsidRPr="00236EF7">
              <w:rPr>
                <w:sz w:val="20"/>
                <w:szCs w:val="20"/>
              </w:rPr>
              <w:t xml:space="preserve">Potenziamento delle abilità di comprensione, produzione e interazione in lingua francese in particolare in contesti di mediazione interculturale. </w:t>
            </w:r>
          </w:p>
        </w:tc>
      </w:tr>
      <w:tr w:rsidR="00AF4DF1" w:rsidRPr="00563191" w:rsidTr="0084683A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Pr="00BC07DD" w:rsidRDefault="004605D7" w:rsidP="0084683A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4605D7">
              <w:rPr>
                <w:sz w:val="20"/>
                <w:szCs w:val="20"/>
                <w:lang w:val="en-US"/>
              </w:rPr>
              <w:t>S</w:t>
            </w:r>
            <w:r w:rsidRPr="001A4773">
              <w:rPr>
                <w:sz w:val="20"/>
                <w:szCs w:val="20"/>
                <w:lang w:val="en-US"/>
              </w:rPr>
              <w:t>trengthening</w:t>
            </w:r>
            <w:r w:rsidR="00AF4DF1" w:rsidRPr="00BC07DD">
              <w:rPr>
                <w:sz w:val="20"/>
                <w:szCs w:val="20"/>
                <w:lang w:val="en-US"/>
              </w:rPr>
              <w:t xml:space="preserve"> of the phonetic, phonological, morphological, syntactic, idiomatic and pragmatic aspects of the language.</w:t>
            </w:r>
          </w:p>
          <w:p w:rsidR="00AF4DF1" w:rsidRPr="00BC07DD" w:rsidRDefault="00AF4DF1" w:rsidP="0084683A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>De</w:t>
            </w:r>
            <w:r>
              <w:rPr>
                <w:sz w:val="20"/>
                <w:szCs w:val="20"/>
                <w:lang w:val="en-US"/>
              </w:rPr>
              <w:t xml:space="preserve">epening </w:t>
            </w:r>
            <w:r w:rsidRPr="00BC07DD">
              <w:rPr>
                <w:sz w:val="20"/>
                <w:szCs w:val="20"/>
                <w:lang w:val="en-US"/>
              </w:rPr>
              <w:t xml:space="preserve">of skills required for translation and interpreting </w:t>
            </w:r>
            <w:r>
              <w:rPr>
                <w:sz w:val="20"/>
                <w:szCs w:val="20"/>
                <w:lang w:val="en-US"/>
              </w:rPr>
              <w:t>IT</w:t>
            </w:r>
            <w:r w:rsidRPr="00BC07DD">
              <w:rPr>
                <w:sz w:val="20"/>
                <w:szCs w:val="20"/>
                <w:lang w:val="en-US"/>
              </w:rPr>
              <w:t>&gt; FR and FR&gt; IT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AF4DF1" w:rsidRPr="00BC07DD" w:rsidRDefault="00AF4DF1" w:rsidP="0084683A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Mastering</w:t>
            </w:r>
            <w:r w:rsidRPr="00BC07DD">
              <w:rPr>
                <w:sz w:val="20"/>
                <w:szCs w:val="20"/>
                <w:lang w:val="en-US"/>
              </w:rPr>
              <w:t xml:space="preserve"> of linguistic resources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BC07DD">
              <w:rPr>
                <w:sz w:val="20"/>
                <w:szCs w:val="20"/>
                <w:lang w:val="en-US"/>
              </w:rPr>
              <w:t xml:space="preserve"> understanding, </w:t>
            </w:r>
            <w:proofErr w:type="spellStart"/>
            <w:r>
              <w:rPr>
                <w:sz w:val="20"/>
                <w:szCs w:val="20"/>
                <w:lang w:val="en-US"/>
              </w:rPr>
              <w:t>analyse</w:t>
            </w:r>
            <w:proofErr w:type="spellEnd"/>
            <w:r w:rsidRPr="00BC07DD">
              <w:rPr>
                <w:sz w:val="20"/>
                <w:szCs w:val="20"/>
                <w:lang w:val="en-US"/>
              </w:rPr>
              <w:t xml:space="preserve"> and produc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r w:rsidRPr="00BC07DD">
              <w:rPr>
                <w:sz w:val="20"/>
                <w:szCs w:val="20"/>
                <w:lang w:val="en-US"/>
              </w:rPr>
              <w:t xml:space="preserve">written and oral texts in </w:t>
            </w:r>
            <w:r>
              <w:rPr>
                <w:sz w:val="20"/>
                <w:szCs w:val="20"/>
                <w:lang w:val="en-US"/>
              </w:rPr>
              <w:t xml:space="preserve">French </w:t>
            </w:r>
            <w:r w:rsidRPr="00BC07DD">
              <w:rPr>
                <w:sz w:val="20"/>
                <w:szCs w:val="20"/>
                <w:lang w:val="en-US"/>
              </w:rPr>
              <w:t>language, includ</w:t>
            </w:r>
            <w:r>
              <w:rPr>
                <w:sz w:val="20"/>
                <w:szCs w:val="20"/>
                <w:lang w:val="en-US"/>
              </w:rPr>
              <w:t>ing in specialized languages.</w:t>
            </w:r>
          </w:p>
          <w:p w:rsidR="00AF4DF1" w:rsidRPr="00236EF7" w:rsidRDefault="00AF4DF1" w:rsidP="0084683A">
            <w:pPr>
              <w:pStyle w:val="Prrafodelista"/>
              <w:numPr>
                <w:ilvl w:val="0"/>
                <w:numId w:val="2"/>
              </w:numPr>
              <w:spacing w:after="120"/>
              <w:ind w:left="289" w:right="113" w:hanging="141"/>
              <w:jc w:val="both"/>
              <w:rPr>
                <w:sz w:val="20"/>
                <w:szCs w:val="20"/>
                <w:lang w:val="en-US"/>
              </w:rPr>
            </w:pPr>
            <w:r w:rsidRPr="00236EF7">
              <w:rPr>
                <w:sz w:val="20"/>
                <w:szCs w:val="20"/>
                <w:lang w:val="en-US"/>
              </w:rPr>
              <w:t>Strengthening of comprehension skills, production and interaction in French in particular in contexts of intercultural mediation.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563191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2"/>
              </w:numPr>
              <w:spacing w:before="120" w:after="120"/>
              <w:ind w:left="289" w:right="113" w:hanging="141"/>
              <w:jc w:val="both"/>
              <w:rPr>
                <w:b w:val="0"/>
                <w:sz w:val="20"/>
              </w:rPr>
            </w:pPr>
            <w:r w:rsidRPr="00D162F8">
              <w:rPr>
                <w:b w:val="0"/>
                <w:sz w:val="20"/>
              </w:rPr>
              <w:t xml:space="preserve">Conoscenza della lingua francese pari al livello </w:t>
            </w:r>
            <w:r w:rsidR="00563191">
              <w:rPr>
                <w:b w:val="0"/>
                <w:sz w:val="20"/>
              </w:rPr>
              <w:t>B2-C1</w:t>
            </w:r>
            <w:r w:rsidRPr="00D162F8">
              <w:rPr>
                <w:b w:val="0"/>
                <w:sz w:val="20"/>
              </w:rPr>
              <w:t xml:space="preserve"> del Quadro Comune Europeo di Riferimento per la </w:t>
            </w:r>
            <w:r w:rsidR="00563191">
              <w:rPr>
                <w:b w:val="0"/>
                <w:sz w:val="20"/>
              </w:rPr>
              <w:t>conoscenza delle Lingue</w:t>
            </w:r>
            <w:r>
              <w:rPr>
                <w:b w:val="0"/>
                <w:sz w:val="20"/>
              </w:rPr>
              <w:t>.</w:t>
            </w:r>
          </w:p>
          <w:p w:rsidR="00AF4DF1" w:rsidRPr="007A2FF5" w:rsidRDefault="00AF4DF1" w:rsidP="0084683A">
            <w:pPr>
              <w:pStyle w:val="Ttulo"/>
              <w:numPr>
                <w:ilvl w:val="0"/>
                <w:numId w:val="2"/>
              </w:numPr>
              <w:spacing w:before="120" w:after="120"/>
              <w:ind w:left="289" w:right="113" w:hanging="14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Conoscenza della lingua italiana.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511EE2" w:rsidRDefault="00AF4DF1" w:rsidP="00511EE2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corso prevede lezioni frontali e ausilio della piattaforma e-learning per l’erogazione del materiale didattico.</w:t>
            </w:r>
            <w:r>
              <w:rPr>
                <w:b w:val="0"/>
                <w:sz w:val="20"/>
              </w:rPr>
              <w:br/>
              <w:t>Saranno proposte attività di analisi (terminologiche, strutturali, contenutistiche) su diverse tipologie testuali ed esercitazioni</w:t>
            </w:r>
            <w:r w:rsidR="00511EE2">
              <w:rPr>
                <w:b w:val="0"/>
                <w:sz w:val="20"/>
              </w:rPr>
              <w:t xml:space="preserve"> pratiche di traduzione a vista.</w:t>
            </w:r>
            <w:r>
              <w:rPr>
                <w:b w:val="0"/>
                <w:sz w:val="20"/>
              </w:rPr>
              <w:t xml:space="preserve"> </w:t>
            </w:r>
            <w:r w:rsidR="00511EE2">
              <w:rPr>
                <w:b w:val="0"/>
                <w:sz w:val="20"/>
              </w:rPr>
              <w:t>Di fondamentale importanza è considerato lo studio in autonomia, sempre improntato ad esercitazioni pratiche, con materiale fornito dal docente o anche scelto dallo studente.</w:t>
            </w:r>
          </w:p>
          <w:p w:rsidR="00AF4DF1" w:rsidRDefault="00AF4DF1" w:rsidP="0084683A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Saranno effettuate esercitazioni individuali in aula o in cabina di interpretazione consecutiva e simultanea da L1 a L2 e viceversa di discorsi o  testi di difficoltà crescente. Simulazioni individuali e registrazioni per il riascolto saranno utilizzati a fini di autocorrezione.</w:t>
            </w:r>
          </w:p>
          <w:p w:rsidR="00AF4DF1" w:rsidRDefault="00AF4DF1" w:rsidP="0084683A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 fine di arricchire il lessico </w:t>
            </w:r>
            <w:r w:rsidR="00FE6352">
              <w:rPr>
                <w:b w:val="0"/>
                <w:sz w:val="20"/>
              </w:rPr>
              <w:t>sono fortemente consigliate attività di lettura di quotidiani, siti web di attualità e ascolto di notiziari tv, web e video da effettuare in autonomia.</w:t>
            </w:r>
            <w:r>
              <w:rPr>
                <w:b w:val="0"/>
                <w:sz w:val="20"/>
              </w:rPr>
              <w:t xml:space="preserve"> Sarà, inoltre, potenziata l’espressione in lingua, con riferimenti alla fonetica ed esercitazioni di produzione tanto scritta quanto orale.</w:t>
            </w:r>
          </w:p>
          <w:p w:rsidR="00AF4DF1" w:rsidRDefault="00AF4DF1" w:rsidP="0084683A">
            <w:pPr>
              <w:pStyle w:val="Ttu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Gli studenti saranno coinvolti nella preparazione di sintesi e presentazioni scritte e/o orali.</w:t>
            </w:r>
          </w:p>
        </w:tc>
      </w:tr>
      <w:tr w:rsidR="00AF4DF1" w:rsidTr="0084683A">
        <w:trPr>
          <w:cantSplit/>
          <w:trHeight w:val="233"/>
        </w:trPr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AF4DF1" w:rsidP="00AF4DF1">
            <w:pPr>
              <w:pStyle w:val="Ttu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cartacei </w:t>
            </w:r>
          </w:p>
          <w:p w:rsidR="00AF4DF1" w:rsidRDefault="00AF4DF1" w:rsidP="00AF4DF1">
            <w:pPr>
              <w:pStyle w:val="Ttu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multimediali audio-video </w:t>
            </w:r>
          </w:p>
          <w:p w:rsidR="00AF4DF1" w:rsidRDefault="00AF4DF1" w:rsidP="00AF4DF1">
            <w:pPr>
              <w:pStyle w:val="Ttu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Pr="00BF7485">
              <w:rPr>
                <w:b w:val="0"/>
                <w:sz w:val="20"/>
              </w:rPr>
              <w:t xml:space="preserve">rticoli, saggi e </w:t>
            </w:r>
            <w:r>
              <w:rPr>
                <w:b w:val="0"/>
                <w:sz w:val="20"/>
              </w:rPr>
              <w:t>d</w:t>
            </w:r>
            <w:r w:rsidRPr="00BF7485">
              <w:rPr>
                <w:b w:val="0"/>
                <w:sz w:val="20"/>
              </w:rPr>
              <w:t xml:space="preserve">ispense </w:t>
            </w:r>
          </w:p>
          <w:p w:rsidR="00AF4DF1" w:rsidRDefault="00AF4DF1" w:rsidP="00AF4DF1">
            <w:pPr>
              <w:pStyle w:val="Ttu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Dizionari, glossari e frasari specifici</w:t>
            </w:r>
          </w:p>
          <w:p w:rsidR="00AF4DF1" w:rsidRDefault="00AF4DF1" w:rsidP="00AF4DF1">
            <w:pPr>
              <w:pStyle w:val="Ttu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Risorse informatiche online e offline</w:t>
            </w:r>
          </w:p>
          <w:p w:rsidR="00AF4DF1" w:rsidRDefault="00AF4DF1" w:rsidP="00AF4DF1">
            <w:pPr>
              <w:pStyle w:val="Ttu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Cabine per l’interpretazione simultanea</w:t>
            </w:r>
          </w:p>
          <w:p w:rsidR="00AF4DF1" w:rsidRPr="000E0300" w:rsidRDefault="00AF4DF1" w:rsidP="00AF4DF1">
            <w:pPr>
              <w:pStyle w:val="Ttulo"/>
              <w:numPr>
                <w:ilvl w:val="0"/>
                <w:numId w:val="3"/>
              </w:numPr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Indicazione di documenti e letture</w:t>
            </w:r>
          </w:p>
        </w:tc>
      </w:tr>
      <w:tr w:rsidR="00AF4DF1" w:rsidTr="0084683A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AF4DF1" w:rsidP="0084683A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Prova scritta propedeutica, seguita da esame orale  </w:t>
            </w:r>
          </w:p>
        </w:tc>
      </w:tr>
      <w:tr w:rsidR="00AF4DF1" w:rsidRPr="00563191" w:rsidTr="0084683A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Pr="00F523C6" w:rsidRDefault="00AF4DF1" w:rsidP="0084683A">
            <w:pPr>
              <w:pStyle w:val="Ttu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US"/>
              </w:rPr>
              <w:t>P</w:t>
            </w:r>
            <w:r w:rsidRPr="000A4592">
              <w:rPr>
                <w:b w:val="0"/>
                <w:sz w:val="20"/>
                <w:lang w:val="en-US"/>
              </w:rPr>
              <w:t>ropaedeutic</w:t>
            </w:r>
            <w:r>
              <w:rPr>
                <w:b w:val="0"/>
                <w:sz w:val="20"/>
                <w:lang w:val="en-GB"/>
              </w:rPr>
              <w:t xml:space="preserve"> written text and oral exam</w:t>
            </w:r>
          </w:p>
        </w:tc>
      </w:tr>
      <w:tr w:rsidR="00AF4DF1" w:rsidTr="0084683A">
        <w:trPr>
          <w:trHeight w:val="839"/>
        </w:trPr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5650">
              <w:rPr>
                <w:sz w:val="20"/>
                <w:szCs w:val="20"/>
              </w:rPr>
              <w:t xml:space="preserve">Esami sostenuti dal candidato e votazioni riportate, con particolare riguardo agli insegnamenti di lingua francese; </w:t>
            </w:r>
          </w:p>
          <w:p w:rsidR="00AF4DF1" w:rsidRDefault="00AF4DF1" w:rsidP="0084683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C5650">
              <w:rPr>
                <w:sz w:val="20"/>
                <w:szCs w:val="20"/>
              </w:rPr>
              <w:t>ivello di conoscenza della lingua francese e delle capacità traduttive IT-FR e FR-IT</w:t>
            </w:r>
            <w:r>
              <w:rPr>
                <w:sz w:val="20"/>
                <w:szCs w:val="20"/>
              </w:rPr>
              <w:t xml:space="preserve"> o eventuale colloquio volto a verificare il livello di conoscenza e le </w:t>
            </w:r>
            <w:r>
              <w:rPr>
                <w:sz w:val="20"/>
                <w:szCs w:val="20"/>
              </w:rPr>
              <w:lastRenderedPageBreak/>
              <w:t>competenze possedute;</w:t>
            </w:r>
          </w:p>
          <w:p w:rsidR="00AF4DF1" w:rsidRDefault="00AF4DF1" w:rsidP="0084683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 w:rsidRPr="008C5650">
              <w:rPr>
                <w:sz w:val="20"/>
                <w:szCs w:val="20"/>
              </w:rPr>
              <w:t xml:space="preserve">otivazioni del candidato nell’intraprendere il lavoro di tesi sull’argomento prospettato al docente; </w:t>
            </w:r>
          </w:p>
          <w:p w:rsidR="00AF4DF1" w:rsidRPr="00236EF7" w:rsidRDefault="00AF4DF1" w:rsidP="0084683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 w:rsidRPr="00236EF7">
              <w:rPr>
                <w:sz w:val="20"/>
                <w:szCs w:val="20"/>
              </w:rPr>
              <w:t>Interesse, originalità e qualità del progetto di tesi proposto.</w:t>
            </w:r>
          </w:p>
        </w:tc>
      </w:tr>
      <w:tr w:rsidR="00AF4DF1" w:rsidTr="0084683A">
        <w:trPr>
          <w:trHeight w:val="839"/>
        </w:trPr>
        <w:tc>
          <w:tcPr>
            <w:tcW w:w="1947" w:type="pct"/>
            <w:vAlign w:val="center"/>
          </w:tcPr>
          <w:p w:rsidR="00AF4DF1" w:rsidRDefault="00AF4DF1" w:rsidP="0084683A">
            <w:pPr>
              <w:pStyle w:val="Ttu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Orario di ricevimento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6352">
              <w:rPr>
                <w:sz w:val="20"/>
                <w:szCs w:val="20"/>
              </w:rPr>
              <w:t>Prima dell’inizio delle lezioni o via skype da concordare per e-mail col docente</w:t>
            </w:r>
          </w:p>
        </w:tc>
      </w:tr>
    </w:tbl>
    <w:p w:rsidR="00AF4DF1" w:rsidRDefault="00AF4DF1" w:rsidP="00AF4DF1">
      <w:pPr>
        <w:ind w:left="540" w:right="506"/>
        <w:jc w:val="center"/>
        <w:rPr>
          <w:sz w:val="6"/>
          <w:szCs w:val="6"/>
        </w:rPr>
      </w:pPr>
    </w:p>
    <w:p w:rsidR="00AF4DF1" w:rsidRDefault="00AF4DF1" w:rsidP="00AF4DF1">
      <w:pPr>
        <w:ind w:left="540" w:right="506"/>
        <w:jc w:val="center"/>
        <w:rPr>
          <w:sz w:val="6"/>
          <w:szCs w:val="6"/>
        </w:rPr>
      </w:pPr>
    </w:p>
    <w:p w:rsidR="00AF4DF1" w:rsidRDefault="00AF4DF1" w:rsidP="00AF4DF1">
      <w:pPr>
        <w:ind w:left="540" w:right="506"/>
        <w:jc w:val="center"/>
        <w:rPr>
          <w:sz w:val="6"/>
          <w:szCs w:val="6"/>
        </w:rPr>
      </w:pPr>
    </w:p>
    <w:sectPr w:rsidR="00AF4DF1" w:rsidSect="00AD6BC6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AA" w:rsidRDefault="00E41FAA" w:rsidP="00223B28">
      <w:r>
        <w:separator/>
      </w:r>
    </w:p>
  </w:endnote>
  <w:endnote w:type="continuationSeparator" w:id="0">
    <w:p w:rsidR="00E41FAA" w:rsidRDefault="00E41FAA" w:rsidP="0022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73" w:rsidRDefault="00E535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4DF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4F73" w:rsidRDefault="00E41FA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73" w:rsidRDefault="00E535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4DF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61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4F73" w:rsidRDefault="00E41FA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AA" w:rsidRDefault="00E41FAA" w:rsidP="00223B28">
      <w:r>
        <w:separator/>
      </w:r>
    </w:p>
  </w:footnote>
  <w:footnote w:type="continuationSeparator" w:id="0">
    <w:p w:rsidR="00E41FAA" w:rsidRDefault="00E41FAA" w:rsidP="0022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4AF"/>
    <w:multiLevelType w:val="hybridMultilevel"/>
    <w:tmpl w:val="D01A1CA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0B8F"/>
    <w:multiLevelType w:val="hybridMultilevel"/>
    <w:tmpl w:val="136C90BE"/>
    <w:lvl w:ilvl="0" w:tplc="A3B4D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007DC"/>
    <w:multiLevelType w:val="hybridMultilevel"/>
    <w:tmpl w:val="1F32299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32495"/>
    <w:multiLevelType w:val="hybridMultilevel"/>
    <w:tmpl w:val="31D2C434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DF1"/>
    <w:rsid w:val="00080016"/>
    <w:rsid w:val="00081409"/>
    <w:rsid w:val="000B073B"/>
    <w:rsid w:val="000F6B06"/>
    <w:rsid w:val="00115760"/>
    <w:rsid w:val="00153761"/>
    <w:rsid w:val="001857AD"/>
    <w:rsid w:val="001C0790"/>
    <w:rsid w:val="00202471"/>
    <w:rsid w:val="00223B28"/>
    <w:rsid w:val="002363BD"/>
    <w:rsid w:val="002552EC"/>
    <w:rsid w:val="00352CDE"/>
    <w:rsid w:val="0039673B"/>
    <w:rsid w:val="003B611E"/>
    <w:rsid w:val="003E14E7"/>
    <w:rsid w:val="004605D7"/>
    <w:rsid w:val="00462AF7"/>
    <w:rsid w:val="00466B99"/>
    <w:rsid w:val="00480AD1"/>
    <w:rsid w:val="004C28A8"/>
    <w:rsid w:val="004D75E7"/>
    <w:rsid w:val="00511EE2"/>
    <w:rsid w:val="00527CDF"/>
    <w:rsid w:val="005328F3"/>
    <w:rsid w:val="00563191"/>
    <w:rsid w:val="005D7094"/>
    <w:rsid w:val="007349C7"/>
    <w:rsid w:val="007E1015"/>
    <w:rsid w:val="007E10B3"/>
    <w:rsid w:val="00821F7B"/>
    <w:rsid w:val="00886E95"/>
    <w:rsid w:val="008C61DA"/>
    <w:rsid w:val="008D38AF"/>
    <w:rsid w:val="009662A9"/>
    <w:rsid w:val="009E364D"/>
    <w:rsid w:val="00A11B4D"/>
    <w:rsid w:val="00A80764"/>
    <w:rsid w:val="00AE09BA"/>
    <w:rsid w:val="00AF4DF1"/>
    <w:rsid w:val="00C17695"/>
    <w:rsid w:val="00C74F10"/>
    <w:rsid w:val="00CA5D04"/>
    <w:rsid w:val="00CF2387"/>
    <w:rsid w:val="00DB5B2F"/>
    <w:rsid w:val="00E41FAA"/>
    <w:rsid w:val="00E535A5"/>
    <w:rsid w:val="00E71DC3"/>
    <w:rsid w:val="00F2742F"/>
    <w:rsid w:val="00F82905"/>
    <w:rsid w:val="00F90D1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F4DF1"/>
    <w:pPr>
      <w:jc w:val="center"/>
    </w:pPr>
    <w:rPr>
      <w:b/>
      <w:sz w:val="32"/>
      <w:szCs w:val="20"/>
    </w:rPr>
  </w:style>
  <w:style w:type="character" w:customStyle="1" w:styleId="TtuloCar">
    <w:name w:val="Título Car"/>
    <w:basedOn w:val="Fuentedeprrafopredeter"/>
    <w:link w:val="Ttulo"/>
    <w:rsid w:val="00AF4DF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edepgina">
    <w:name w:val="footer"/>
    <w:basedOn w:val="Normal"/>
    <w:link w:val="PiedepginaCar"/>
    <w:rsid w:val="00AF4DF1"/>
    <w:pPr>
      <w:tabs>
        <w:tab w:val="center" w:pos="4819"/>
        <w:tab w:val="right" w:pos="9638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rsid w:val="00AF4DF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merodepgina">
    <w:name w:val="page number"/>
    <w:basedOn w:val="Fuentedeprrafopredeter"/>
    <w:rsid w:val="00AF4DF1"/>
  </w:style>
  <w:style w:type="paragraph" w:styleId="Prrafodelista">
    <w:name w:val="List Paragraph"/>
    <w:basedOn w:val="Normal"/>
    <w:uiPriority w:val="34"/>
    <w:qFormat/>
    <w:rsid w:val="00AF4DF1"/>
    <w:pPr>
      <w:ind w:left="720"/>
      <w:contextualSpacing/>
    </w:pPr>
  </w:style>
  <w:style w:type="paragraph" w:customStyle="1" w:styleId="Default">
    <w:name w:val="Default"/>
    <w:rsid w:val="00AF4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9E36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1403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rina scala</cp:lastModifiedBy>
  <cp:revision>5</cp:revision>
  <dcterms:created xsi:type="dcterms:W3CDTF">2018-11-29T11:30:00Z</dcterms:created>
  <dcterms:modified xsi:type="dcterms:W3CDTF">2018-12-06T09:54:00Z</dcterms:modified>
</cp:coreProperties>
</file>